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sz w:val="30"/>
          <w:szCs w:val="30"/>
        </w:rPr>
      </w:pPr>
      <w:r>
        <w:rPr>
          <w:rFonts w:hint="eastAsia" w:ascii="黑体" w:hAnsi="黑体" w:eastAsia="黑体"/>
          <w:sz w:val="30"/>
          <w:szCs w:val="30"/>
        </w:rPr>
        <w:t>附2：</w:t>
      </w:r>
    </w:p>
    <w:p>
      <w:pPr>
        <w:jc w:val="center"/>
        <w:rPr>
          <w:rFonts w:asciiTheme="minorEastAsia" w:hAnsiTheme="minorEastAsia"/>
          <w:b/>
          <w:sz w:val="32"/>
          <w:szCs w:val="32"/>
        </w:rPr>
      </w:pPr>
      <w:bookmarkStart w:id="0" w:name="_GoBack"/>
      <w:r>
        <w:rPr>
          <w:rFonts w:hint="eastAsia" w:asciiTheme="minorEastAsia" w:hAnsiTheme="minorEastAsia"/>
          <w:b/>
          <w:sz w:val="32"/>
          <w:szCs w:val="32"/>
        </w:rPr>
        <w:t>水污染防治专项资金绩效评价指标体系</w:t>
      </w:r>
    </w:p>
    <w:bookmarkEnd w:id="0"/>
    <w:tbl>
      <w:tblPr>
        <w:tblStyle w:val="3"/>
        <w:tblW w:w="10354" w:type="dxa"/>
        <w:jc w:val="center"/>
        <w:tblInd w:w="-387" w:type="dxa"/>
        <w:tblLayout w:type="fixed"/>
        <w:tblCellMar>
          <w:top w:w="0" w:type="dxa"/>
          <w:left w:w="108" w:type="dxa"/>
          <w:bottom w:w="0" w:type="dxa"/>
          <w:right w:w="108" w:type="dxa"/>
        </w:tblCellMar>
      </w:tblPr>
      <w:tblGrid>
        <w:gridCol w:w="725"/>
        <w:gridCol w:w="507"/>
        <w:gridCol w:w="896"/>
        <w:gridCol w:w="532"/>
        <w:gridCol w:w="1174"/>
        <w:gridCol w:w="6520"/>
      </w:tblGrid>
      <w:tr>
        <w:tblPrEx>
          <w:tblLayout w:type="fixed"/>
          <w:tblCellMar>
            <w:top w:w="0" w:type="dxa"/>
            <w:left w:w="108" w:type="dxa"/>
            <w:bottom w:w="0" w:type="dxa"/>
            <w:right w:w="108" w:type="dxa"/>
          </w:tblCellMar>
        </w:tblPrEx>
        <w:trPr>
          <w:trHeight w:val="589" w:hRule="atLeast"/>
          <w:jc w:val="center"/>
        </w:trPr>
        <w:tc>
          <w:tcPr>
            <w:tcW w:w="72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kern w:val="0"/>
                <w:sz w:val="18"/>
                <w:szCs w:val="18"/>
              </w:rPr>
            </w:pPr>
            <w:r>
              <w:rPr>
                <w:rFonts w:hint="eastAsia" w:ascii="宋体" w:hAnsi="宋体" w:cs="宋体"/>
                <w:b/>
                <w:kern w:val="0"/>
                <w:sz w:val="18"/>
                <w:szCs w:val="18"/>
              </w:rPr>
              <w:t>一级指标</w:t>
            </w:r>
          </w:p>
        </w:tc>
        <w:tc>
          <w:tcPr>
            <w:tcW w:w="50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kern w:val="0"/>
                <w:sz w:val="18"/>
                <w:szCs w:val="18"/>
              </w:rPr>
            </w:pPr>
            <w:r>
              <w:rPr>
                <w:rFonts w:hint="eastAsia" w:ascii="宋体" w:hAnsi="宋体" w:cs="宋体"/>
                <w:b/>
                <w:kern w:val="0"/>
                <w:sz w:val="18"/>
                <w:szCs w:val="18"/>
              </w:rPr>
              <w:t>分值</w:t>
            </w:r>
          </w:p>
        </w:tc>
        <w:tc>
          <w:tcPr>
            <w:tcW w:w="8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kern w:val="0"/>
                <w:sz w:val="18"/>
                <w:szCs w:val="18"/>
              </w:rPr>
            </w:pPr>
            <w:r>
              <w:rPr>
                <w:rFonts w:hint="eastAsia" w:ascii="宋体" w:hAnsi="宋体" w:cs="宋体"/>
                <w:b/>
                <w:kern w:val="0"/>
                <w:sz w:val="18"/>
                <w:szCs w:val="18"/>
              </w:rPr>
              <w:t>二级指标</w:t>
            </w:r>
          </w:p>
        </w:tc>
        <w:tc>
          <w:tcPr>
            <w:tcW w:w="53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kern w:val="0"/>
                <w:sz w:val="18"/>
                <w:szCs w:val="18"/>
              </w:rPr>
            </w:pPr>
            <w:r>
              <w:rPr>
                <w:rFonts w:hint="eastAsia" w:ascii="宋体" w:hAnsi="宋体" w:cs="宋体"/>
                <w:b/>
                <w:kern w:val="0"/>
                <w:sz w:val="18"/>
                <w:szCs w:val="18"/>
              </w:rPr>
              <w:t>分</w:t>
            </w:r>
          </w:p>
          <w:p>
            <w:pPr>
              <w:widowControl/>
              <w:jc w:val="center"/>
              <w:rPr>
                <w:rFonts w:ascii="宋体" w:hAnsi="宋体" w:cs="宋体"/>
                <w:b/>
                <w:kern w:val="0"/>
                <w:sz w:val="18"/>
                <w:szCs w:val="18"/>
              </w:rPr>
            </w:pPr>
            <w:r>
              <w:rPr>
                <w:rFonts w:hint="eastAsia" w:ascii="宋体" w:hAnsi="宋体" w:cs="宋体"/>
                <w:b/>
                <w:kern w:val="0"/>
                <w:sz w:val="18"/>
                <w:szCs w:val="18"/>
              </w:rPr>
              <w:t>值</w:t>
            </w:r>
          </w:p>
        </w:tc>
        <w:tc>
          <w:tcPr>
            <w:tcW w:w="117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kern w:val="0"/>
                <w:sz w:val="18"/>
                <w:szCs w:val="18"/>
              </w:rPr>
            </w:pPr>
            <w:r>
              <w:rPr>
                <w:rFonts w:hint="eastAsia" w:ascii="宋体" w:hAnsi="宋体" w:cs="宋体"/>
                <w:b/>
                <w:kern w:val="0"/>
                <w:sz w:val="18"/>
                <w:szCs w:val="18"/>
              </w:rPr>
              <w:t>指标解释</w:t>
            </w:r>
          </w:p>
        </w:tc>
        <w:tc>
          <w:tcPr>
            <w:tcW w:w="65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kern w:val="0"/>
                <w:sz w:val="18"/>
                <w:szCs w:val="18"/>
              </w:rPr>
            </w:pPr>
            <w:r>
              <w:rPr>
                <w:rFonts w:hint="eastAsia" w:ascii="宋体" w:hAnsi="宋体" w:cs="宋体"/>
                <w:b/>
                <w:kern w:val="0"/>
                <w:sz w:val="18"/>
                <w:szCs w:val="18"/>
              </w:rPr>
              <w:t>评价标准</w:t>
            </w:r>
          </w:p>
        </w:tc>
      </w:tr>
      <w:tr>
        <w:tblPrEx>
          <w:tblLayout w:type="fixed"/>
          <w:tblCellMar>
            <w:top w:w="0" w:type="dxa"/>
            <w:left w:w="108" w:type="dxa"/>
            <w:bottom w:w="0" w:type="dxa"/>
            <w:right w:w="108" w:type="dxa"/>
          </w:tblCellMar>
        </w:tblPrEx>
        <w:trPr>
          <w:trHeight w:val="1120" w:hRule="atLeast"/>
          <w:jc w:val="center"/>
        </w:trPr>
        <w:tc>
          <w:tcPr>
            <w:tcW w:w="72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资金管理</w:t>
            </w:r>
          </w:p>
        </w:tc>
        <w:tc>
          <w:tcPr>
            <w:tcW w:w="50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25</w:t>
            </w:r>
          </w:p>
        </w:tc>
        <w:tc>
          <w:tcPr>
            <w:tcW w:w="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资金分配</w:t>
            </w:r>
          </w:p>
        </w:tc>
        <w:tc>
          <w:tcPr>
            <w:tcW w:w="5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1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是否科学、合理、及时</w:t>
            </w:r>
          </w:p>
        </w:tc>
        <w:tc>
          <w:tcPr>
            <w:tcW w:w="6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资金管理办法健全、规范（3分）；资金按规定时间拨付到项目承担单位（3分）；资金分配紧密结合本地区水污染工作特点，有针对性地支持重点流域、重点区域，良好水体、饮用水水源、地下水等保护和治理工作（4分）。否则扣减相应分数。</w:t>
            </w:r>
          </w:p>
        </w:tc>
      </w:tr>
      <w:tr>
        <w:tblPrEx>
          <w:tblLayout w:type="fixed"/>
          <w:tblCellMar>
            <w:top w:w="0" w:type="dxa"/>
            <w:left w:w="108" w:type="dxa"/>
            <w:bottom w:w="0" w:type="dxa"/>
            <w:right w:w="108" w:type="dxa"/>
          </w:tblCellMar>
        </w:tblPrEx>
        <w:trPr>
          <w:trHeight w:val="673" w:hRule="atLeast"/>
          <w:jc w:val="center"/>
        </w:trPr>
        <w:tc>
          <w:tcPr>
            <w:tcW w:w="725"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507"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资金使用</w:t>
            </w:r>
          </w:p>
        </w:tc>
        <w:tc>
          <w:tcPr>
            <w:tcW w:w="5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1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是否规范、安全</w:t>
            </w:r>
          </w:p>
        </w:tc>
        <w:tc>
          <w:tcPr>
            <w:tcW w:w="6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严格按照相关规定使用资金（5分）。如存在截留、挤占、挪用等违规情况，但及时改正（扣减2分），存在前述问题且不按规定整改的情况不得分。</w:t>
            </w:r>
          </w:p>
        </w:tc>
      </w:tr>
      <w:tr>
        <w:tblPrEx>
          <w:tblLayout w:type="fixed"/>
          <w:tblCellMar>
            <w:top w:w="0" w:type="dxa"/>
            <w:left w:w="108" w:type="dxa"/>
            <w:bottom w:w="0" w:type="dxa"/>
            <w:right w:w="108" w:type="dxa"/>
          </w:tblCellMar>
        </w:tblPrEx>
        <w:trPr>
          <w:trHeight w:val="1249" w:hRule="atLeast"/>
          <w:jc w:val="center"/>
        </w:trPr>
        <w:tc>
          <w:tcPr>
            <w:tcW w:w="725"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507"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资金管理</w:t>
            </w:r>
          </w:p>
        </w:tc>
        <w:tc>
          <w:tcPr>
            <w:tcW w:w="5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1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管理措施是否健全、有效，预算执行率</w:t>
            </w:r>
          </w:p>
        </w:tc>
        <w:tc>
          <w:tcPr>
            <w:tcW w:w="6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建立了预算执行报告、跟踪机制（2分）；建立了信息公开制度并及时公开资金分配使用等信息（2分）；及时开展预算执行监督检查、绩效评价工作（2分）；预算执行率满足序时进度要求（4分）。否则扣减相应分数。</w:t>
            </w:r>
          </w:p>
        </w:tc>
      </w:tr>
      <w:tr>
        <w:tblPrEx>
          <w:tblLayout w:type="fixed"/>
          <w:tblCellMar>
            <w:top w:w="0" w:type="dxa"/>
            <w:left w:w="108" w:type="dxa"/>
            <w:bottom w:w="0" w:type="dxa"/>
            <w:right w:w="108" w:type="dxa"/>
          </w:tblCellMar>
        </w:tblPrEx>
        <w:trPr>
          <w:trHeight w:val="1285" w:hRule="atLeast"/>
          <w:jc w:val="center"/>
        </w:trPr>
        <w:tc>
          <w:tcPr>
            <w:tcW w:w="725"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项目管理</w:t>
            </w:r>
          </w:p>
        </w:tc>
        <w:tc>
          <w:tcPr>
            <w:tcW w:w="50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20</w:t>
            </w:r>
          </w:p>
        </w:tc>
        <w:tc>
          <w:tcPr>
            <w:tcW w:w="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项目进展</w:t>
            </w:r>
          </w:p>
        </w:tc>
        <w:tc>
          <w:tcPr>
            <w:tcW w:w="5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10</w:t>
            </w:r>
          </w:p>
        </w:tc>
        <w:tc>
          <w:tcPr>
            <w:tcW w:w="11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项目是否按计划开工、完工</w:t>
            </w:r>
          </w:p>
        </w:tc>
        <w:tc>
          <w:tcPr>
            <w:tcW w:w="6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项目开工率达到90%（含）以上，完工率达到或优于绩效目标中设定的指标（10分）。如开工率70%（含）至90%，完工率达到或优于绩效目标中设定的指标（只得5分）；项目开工率低于70%，或完工率未达到绩效目标中设定的指标，不得分。</w:t>
            </w:r>
          </w:p>
        </w:tc>
      </w:tr>
      <w:tr>
        <w:tblPrEx>
          <w:tblLayout w:type="fixed"/>
          <w:tblCellMar>
            <w:top w:w="0" w:type="dxa"/>
            <w:left w:w="108" w:type="dxa"/>
            <w:bottom w:w="0" w:type="dxa"/>
            <w:right w:w="108" w:type="dxa"/>
          </w:tblCellMar>
        </w:tblPrEx>
        <w:trPr>
          <w:trHeight w:val="810" w:hRule="atLeast"/>
          <w:jc w:val="center"/>
        </w:trPr>
        <w:tc>
          <w:tcPr>
            <w:tcW w:w="725"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507"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PPP 应用</w:t>
            </w:r>
          </w:p>
        </w:tc>
        <w:tc>
          <w:tcPr>
            <w:tcW w:w="5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1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吸引社会资本投资水污染防治情况</w:t>
            </w:r>
          </w:p>
        </w:tc>
        <w:tc>
          <w:tcPr>
            <w:tcW w:w="6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以PPP模式吸引社会资本投资额度占年度总投资额比例50%（含）以上的，得5分；30%（含）至50%的，得3分；30%以下的，不得分。</w:t>
            </w:r>
          </w:p>
        </w:tc>
      </w:tr>
      <w:tr>
        <w:tblPrEx>
          <w:tblLayout w:type="fixed"/>
          <w:tblCellMar>
            <w:top w:w="0" w:type="dxa"/>
            <w:left w:w="108" w:type="dxa"/>
            <w:bottom w:w="0" w:type="dxa"/>
            <w:right w:w="108" w:type="dxa"/>
          </w:tblCellMar>
        </w:tblPrEx>
        <w:trPr>
          <w:trHeight w:val="606" w:hRule="atLeast"/>
          <w:jc w:val="center"/>
        </w:trPr>
        <w:tc>
          <w:tcPr>
            <w:tcW w:w="725"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507"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18"/>
                <w:szCs w:val="18"/>
              </w:rPr>
            </w:pPr>
          </w:p>
        </w:tc>
        <w:tc>
          <w:tcPr>
            <w:tcW w:w="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项目管理</w:t>
            </w:r>
          </w:p>
        </w:tc>
        <w:tc>
          <w:tcPr>
            <w:tcW w:w="5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1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项目管理的规范性、有效性</w:t>
            </w:r>
          </w:p>
        </w:tc>
        <w:tc>
          <w:tcPr>
            <w:tcW w:w="6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kern w:val="0"/>
                <w:sz w:val="18"/>
                <w:szCs w:val="18"/>
              </w:rPr>
              <w:t>建立健全项目储备、报备、动态监管等管理制度（2分）；严格执行相关项目管理制度（3分）。否则扣减相应分数。</w:t>
            </w:r>
          </w:p>
        </w:tc>
      </w:tr>
      <w:tr>
        <w:tblPrEx>
          <w:tblLayout w:type="fixed"/>
          <w:tblCellMar>
            <w:top w:w="0" w:type="dxa"/>
            <w:left w:w="108" w:type="dxa"/>
            <w:bottom w:w="0" w:type="dxa"/>
            <w:right w:w="108" w:type="dxa"/>
          </w:tblCellMar>
        </w:tblPrEx>
        <w:trPr>
          <w:trHeight w:val="1074" w:hRule="atLeast"/>
          <w:jc w:val="center"/>
        </w:trPr>
        <w:tc>
          <w:tcPr>
            <w:tcW w:w="725" w:type="dxa"/>
            <w:vMerge w:val="restart"/>
            <w:tcBorders>
              <w:top w:val="single" w:color="auto" w:sz="4" w:space="0"/>
              <w:left w:val="single" w:color="auto" w:sz="4" w:space="0"/>
              <w:right w:val="single" w:color="auto" w:sz="4" w:space="0"/>
            </w:tcBorders>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产出和效益</w:t>
            </w:r>
          </w:p>
        </w:tc>
        <w:tc>
          <w:tcPr>
            <w:tcW w:w="507" w:type="dxa"/>
            <w:vMerge w:val="restart"/>
            <w:tcBorders>
              <w:top w:val="single" w:color="auto" w:sz="4" w:space="0"/>
              <w:left w:val="single" w:color="auto" w:sz="4" w:space="0"/>
              <w:right w:val="single" w:color="auto" w:sz="4" w:space="0"/>
            </w:tcBorders>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55</w:t>
            </w:r>
          </w:p>
        </w:tc>
        <w:tc>
          <w:tcPr>
            <w:tcW w:w="8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水环境质量目标</w:t>
            </w:r>
          </w:p>
        </w:tc>
        <w:tc>
          <w:tcPr>
            <w:tcW w:w="53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30</w:t>
            </w:r>
          </w:p>
        </w:tc>
        <w:tc>
          <w:tcPr>
            <w:tcW w:w="117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color w:val="000000"/>
                <w:kern w:val="0"/>
                <w:sz w:val="18"/>
                <w:szCs w:val="18"/>
              </w:rPr>
              <w:t>年度实施方案水环境治理目标完成情况</w:t>
            </w:r>
          </w:p>
        </w:tc>
        <w:tc>
          <w:tcPr>
            <w:tcW w:w="652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kern w:val="0"/>
                <w:sz w:val="18"/>
                <w:szCs w:val="18"/>
              </w:rPr>
            </w:pPr>
            <w:r>
              <w:rPr>
                <w:rFonts w:hint="eastAsia" w:ascii="宋体" w:hAnsi="宋体" w:cs="宋体"/>
                <w:color w:val="000000"/>
                <w:kern w:val="0"/>
                <w:sz w:val="18"/>
                <w:szCs w:val="18"/>
              </w:rPr>
              <w:t>根据当年水污染防治专项实施方案及水污染防治专项绩效目标申报表，相关水体类型实际各项水质指标优于预定目标（超过一半水体类型实际各项效益指标优于预定目标，其他水体类型水质达到预定目标），得30分；涉及相关水体类型各项水质指标均达到预定目标，得25分；涉及相关水体类型各项水质指标基本满足预定目标，个别指标值未达到预定目标，得15分；本区域相关水体类型各项效益指标未达到预定目标，水环境质量未明显改善，甚至某类水体质量下降，不得分。</w:t>
            </w:r>
          </w:p>
        </w:tc>
      </w:tr>
      <w:tr>
        <w:tblPrEx>
          <w:tblLayout w:type="fixed"/>
          <w:tblCellMar>
            <w:top w:w="0" w:type="dxa"/>
            <w:left w:w="108" w:type="dxa"/>
            <w:bottom w:w="0" w:type="dxa"/>
            <w:right w:w="108" w:type="dxa"/>
          </w:tblCellMar>
        </w:tblPrEx>
        <w:trPr>
          <w:trHeight w:val="862" w:hRule="atLeast"/>
          <w:jc w:val="center"/>
        </w:trPr>
        <w:tc>
          <w:tcPr>
            <w:tcW w:w="725" w:type="dxa"/>
            <w:vMerge w:val="continue"/>
            <w:tcBorders>
              <w:left w:val="single" w:color="auto" w:sz="4" w:space="0"/>
              <w:right w:val="single" w:color="auto" w:sz="4" w:space="0"/>
            </w:tcBorders>
            <w:vAlign w:val="center"/>
          </w:tcPr>
          <w:p>
            <w:pPr>
              <w:jc w:val="center"/>
              <w:rPr>
                <w:rFonts w:ascii="宋体" w:hAnsi="宋体" w:cs="宋体"/>
                <w:color w:val="000000"/>
                <w:kern w:val="0"/>
                <w:sz w:val="18"/>
                <w:szCs w:val="18"/>
              </w:rPr>
            </w:pPr>
          </w:p>
        </w:tc>
        <w:tc>
          <w:tcPr>
            <w:tcW w:w="507" w:type="dxa"/>
            <w:vMerge w:val="continue"/>
            <w:tcBorders>
              <w:left w:val="single" w:color="auto" w:sz="4" w:space="0"/>
              <w:right w:val="single" w:color="auto" w:sz="4" w:space="0"/>
            </w:tcBorders>
            <w:shd w:val="clear" w:color="auto" w:fill="auto"/>
            <w:vAlign w:val="center"/>
          </w:tcPr>
          <w:p>
            <w:pPr>
              <w:jc w:val="center"/>
              <w:rPr>
                <w:rFonts w:ascii="宋体" w:hAnsi="宋体" w:cs="宋体"/>
                <w:color w:val="000000"/>
                <w:kern w:val="0"/>
                <w:sz w:val="18"/>
                <w:szCs w:val="18"/>
              </w:rPr>
            </w:pPr>
          </w:p>
        </w:tc>
        <w:tc>
          <w:tcPr>
            <w:tcW w:w="89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水污染防治重点工作</w:t>
            </w:r>
          </w:p>
        </w:tc>
        <w:tc>
          <w:tcPr>
            <w:tcW w:w="5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15</w:t>
            </w:r>
          </w:p>
        </w:tc>
        <w:tc>
          <w:tcPr>
            <w:tcW w:w="11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年度重点任务完成情况</w:t>
            </w:r>
          </w:p>
        </w:tc>
        <w:tc>
          <w:tcPr>
            <w:tcW w:w="6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根据当年水污染防治专项实施方案及当年水污染防治专项绩效目标申报表，年度污染负荷削减量及生态修复与建设面积全部达到预定目标，得15分；仅完成污染负荷削减量或生态修复与建设面积二者之一，得10分；否则，不得分。</w:t>
            </w:r>
          </w:p>
        </w:tc>
      </w:tr>
      <w:tr>
        <w:tblPrEx>
          <w:tblLayout w:type="fixed"/>
          <w:tblCellMar>
            <w:top w:w="0" w:type="dxa"/>
            <w:left w:w="108" w:type="dxa"/>
            <w:bottom w:w="0" w:type="dxa"/>
            <w:right w:w="108" w:type="dxa"/>
          </w:tblCellMar>
        </w:tblPrEx>
        <w:trPr>
          <w:trHeight w:val="620" w:hRule="atLeast"/>
          <w:jc w:val="center"/>
        </w:trPr>
        <w:tc>
          <w:tcPr>
            <w:tcW w:w="725" w:type="dxa"/>
            <w:vMerge w:val="continue"/>
            <w:tcBorders>
              <w:left w:val="single" w:color="auto" w:sz="4" w:space="0"/>
              <w:right w:val="single" w:color="auto" w:sz="4" w:space="0"/>
            </w:tcBorders>
            <w:vAlign w:val="center"/>
          </w:tcPr>
          <w:p>
            <w:pPr>
              <w:jc w:val="center"/>
              <w:rPr>
                <w:rFonts w:ascii="宋体" w:hAnsi="宋体" w:cs="宋体"/>
                <w:color w:val="000000"/>
                <w:kern w:val="0"/>
                <w:sz w:val="18"/>
                <w:szCs w:val="18"/>
              </w:rPr>
            </w:pPr>
          </w:p>
        </w:tc>
        <w:tc>
          <w:tcPr>
            <w:tcW w:w="507" w:type="dxa"/>
            <w:vMerge w:val="continue"/>
            <w:tcBorders>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18"/>
                <w:szCs w:val="18"/>
              </w:rPr>
            </w:pPr>
          </w:p>
        </w:tc>
        <w:tc>
          <w:tcPr>
            <w:tcW w:w="896"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经济社会效益指标</w:t>
            </w:r>
          </w:p>
        </w:tc>
        <w:tc>
          <w:tcPr>
            <w:tcW w:w="532"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1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预期的经济社会效益目标实现程度</w:t>
            </w:r>
          </w:p>
        </w:tc>
        <w:tc>
          <w:tcPr>
            <w:tcW w:w="6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总体达到预期经济效益目标值（5分），达到部分目标值或有一定经济效益的（3分），没有实现预期经济效益的不得分。</w:t>
            </w:r>
          </w:p>
        </w:tc>
      </w:tr>
      <w:tr>
        <w:tblPrEx>
          <w:tblLayout w:type="fixed"/>
          <w:tblCellMar>
            <w:top w:w="0" w:type="dxa"/>
            <w:left w:w="108" w:type="dxa"/>
            <w:bottom w:w="0" w:type="dxa"/>
            <w:right w:w="108" w:type="dxa"/>
          </w:tblCellMar>
        </w:tblPrEx>
        <w:trPr>
          <w:trHeight w:val="680" w:hRule="atLeast"/>
          <w:jc w:val="center"/>
        </w:trPr>
        <w:tc>
          <w:tcPr>
            <w:tcW w:w="725" w:type="dxa"/>
            <w:vMerge w:val="continue"/>
            <w:tcBorders>
              <w:left w:val="single" w:color="auto" w:sz="4" w:space="0"/>
              <w:bottom w:val="single" w:color="auto" w:sz="4" w:space="0"/>
              <w:right w:val="single" w:color="auto" w:sz="4" w:space="0"/>
            </w:tcBorders>
            <w:vAlign w:val="center"/>
          </w:tcPr>
          <w:p>
            <w:pPr>
              <w:jc w:val="center"/>
              <w:rPr>
                <w:rFonts w:ascii="宋体" w:hAnsi="宋体" w:cs="宋体"/>
                <w:color w:val="000000"/>
                <w:kern w:val="0"/>
                <w:sz w:val="18"/>
                <w:szCs w:val="18"/>
              </w:rPr>
            </w:pPr>
          </w:p>
        </w:tc>
        <w:tc>
          <w:tcPr>
            <w:tcW w:w="507" w:type="dxa"/>
            <w:vMerge w:val="continue"/>
            <w:tcBorders>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kern w:val="0"/>
                <w:sz w:val="18"/>
                <w:szCs w:val="18"/>
              </w:rPr>
            </w:pPr>
          </w:p>
        </w:tc>
        <w:tc>
          <w:tcPr>
            <w:tcW w:w="896" w:type="dxa"/>
            <w:tcBorders>
              <w:top w:val="nil"/>
              <w:left w:val="nil"/>
              <w:bottom w:val="single" w:color="auto" w:sz="4" w:space="0"/>
              <w:right w:val="single" w:color="auto" w:sz="4" w:space="0"/>
            </w:tcBorders>
            <w:shd w:val="clear" w:color="auto" w:fill="auto"/>
            <w:vAlign w:val="center"/>
          </w:tcPr>
          <w:p>
            <w:pPr>
              <w:jc w:val="center"/>
              <w:rPr>
                <w:rFonts w:ascii="宋体" w:hAnsi="宋体" w:cs="宋体"/>
                <w:color w:val="000000"/>
                <w:kern w:val="0"/>
                <w:sz w:val="18"/>
                <w:szCs w:val="18"/>
              </w:rPr>
            </w:pPr>
            <w:r>
              <w:rPr>
                <w:rFonts w:hint="eastAsia" w:ascii="宋体" w:hAnsi="宋体" w:cs="宋体"/>
                <w:color w:val="000000"/>
                <w:kern w:val="0"/>
                <w:sz w:val="18"/>
                <w:szCs w:val="18"/>
              </w:rPr>
              <w:t>满意度指标</w:t>
            </w:r>
          </w:p>
        </w:tc>
        <w:tc>
          <w:tcPr>
            <w:tcW w:w="53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5</w:t>
            </w:r>
          </w:p>
        </w:tc>
        <w:tc>
          <w:tcPr>
            <w:tcW w:w="117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社会对水污染防治工作的满意度</w:t>
            </w:r>
          </w:p>
        </w:tc>
        <w:tc>
          <w:tcPr>
            <w:tcW w:w="652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满意度≥90%，得5分；70%≤满意度﹤90%，得3分；满意度﹤70%，不得分。</w:t>
            </w:r>
          </w:p>
        </w:tc>
      </w:tr>
    </w:tbl>
    <w:p>
      <w:pPr>
        <w:spacing w:line="680" w:lineRule="exact"/>
        <w:rPr>
          <w:szCs w:val="32"/>
        </w:rPr>
      </w:pPr>
    </w:p>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EAJXBD+TT61C1o00">
    <w:altName w:val="Times New Roman"/>
    <w:panose1 w:val="00000000000000000000"/>
    <w:charset w:val="00"/>
    <w:family w:val="roman"/>
    <w:pitch w:val="default"/>
    <w:sig w:usb0="00000000" w:usb1="00000000" w:usb2="00000000" w:usb3="00000000" w:csb0="00000001" w:csb1="00000000"/>
  </w:font>
  <w:font w:name="Calibri Light">
    <w:panose1 w:val="020F0302020204030204"/>
    <w:charset w:val="00"/>
    <w:family w:val="swiss"/>
    <w:pitch w:val="default"/>
    <w:sig w:usb0="A00002EF" w:usb1="4000207B" w:usb2="00000000"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MS Gothic">
    <w:panose1 w:val="020B0609070205080204"/>
    <w:charset w:val="80"/>
    <w:family w:val="moder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A0161"/>
    <w:rsid w:val="6A9A016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2017-04-24T06:03:00Z</dcterms:created>
  <dc:creator>Kicaz</dc:creator>
  <cp:lastModifiedBy>Kicaz</cp:lastModifiedBy>
  <dcterms:modified xsi:type="dcterms:W3CDTF">2017-04-24T06:03:25Z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